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园区运营数据平台开发及维护服务合同</w:t>
      </w:r>
    </w:p>
    <w:p>
      <w:pPr>
        <w:jc w:val="center"/>
      </w:pPr>
      <w:r>
        <w:t>商 务 谈 判 稿  ·  尚 未 签 署</w:t>
      </w:r>
    </w:p>
    <w:p>
      <w:r>
        <w:t>文件编号：GC-DRAFT-2026-001</w:t>
      </w:r>
    </w:p>
    <w:p>
      <w:r>
        <w:t>版本：V1.0</w:t>
      </w:r>
    </w:p>
    <w:p>
      <w:r>
        <w:t>编制日期：2026年9月27日</w:t>
      </w:r>
    </w:p>
    <w:p>
      <w:r>
        <w:t>性质：完整待审样稿。主体与项目为虚构，条款按真实交易习惯编写；未经交易核验，不供直接签署。</w:t>
      </w:r>
    </w:p>
    <w:p>
      <w:pPr>
        <w:pStyle w:val="Heading1"/>
      </w:pPr>
      <w:r>
        <w:t>目录</w:t>
      </w:r>
    </w:p>
    <w:p>
      <w:r>
        <w:t>第一章 当事人与定义  /  第二章 项目范围与合作方式  /  第三章 价款、发票与付款  /  第四章 进度与双方协作  /  第五章 交付与验收  /  第六章 需求变更与项目记录  /  第七章 知识产权与第三方组件  /  第八章 数据保护与保密  /  第九章 维护、服务与升级  /  第十章 违约责任与责任范围  /  第十一章 期限、解除与交接  /  第十二章 不可抗力、通知及争议  /  附件一 服务与交付范围  /  附件二 价款分项及付款表  /  附件三 里程碑与验收材料  /  附件四 交接与归档清单  /  签署与归档页</w:t>
      </w:r>
    </w:p>
    <w:p>
      <w:r>
        <w:br w:type="page"/>
      </w:r>
    </w:p>
    <w:p>
      <w:pPr>
        <w:pStyle w:val="Heading1"/>
      </w:pPr>
      <w:r>
        <w:t>第一章 当事人与定义</w:t>
      </w:r>
    </w:p>
    <w:p>
      <w:r>
        <w:t>1.1 甲方（采购方）：栖湾园区运营有限公司。乙方（服务方）：云序信息技术有限公司。双方均为本样稿中的虚构主体；签署时应以有效营业执照、授权文件及实际联系资料替换本页信息。</w:t>
      </w:r>
    </w:p>
    <w:p>
      <w:r>
        <w:t>1.2 “项目”指栖湾园区运营数据平台一期；“成果”指附件一列明的软件、文档和培训材料；“工作日”指项目履行地的法定工作日。“书面”包括经双方指定联系人确认收到的电子邮件。</w:t>
      </w:r>
    </w:p>
    <w:p>
      <w:r>
        <w:t>1.3 本协议正文及附件一至四构成完整协议。附件如与正文不一致，以双方最后签署的专项变更文件为准；未明确更改的，以正文为准。任何需求或价款变化均须遵守第六章。</w:t>
      </w:r>
    </w:p>
    <w:p>
      <w:pPr>
        <w:pStyle w:val="Heading1"/>
      </w:pPr>
      <w:r>
        <w:t>第二章 项目范围与合作方式</w:t>
      </w:r>
    </w:p>
    <w:p>
      <w:r>
        <w:t>2.1 乙方按附件一开发运营总览、能耗统计和工单查询模块，提供测试部署、上线支持、管理员培训及十二个月维护。固定范围不包括既有系统的数据清洗、硬件采购及第三方接口收费。</w:t>
      </w:r>
    </w:p>
    <w:p>
      <w:r>
        <w:t>2.2 甲方提供接口文档、脱敏测试数据、测试环境访问和业务确认人员；乙方指定项目经理和技术负责人。双方在启动会确认交付计划、沟通渠道和升级联系人。</w:t>
      </w:r>
    </w:p>
    <w:p>
      <w:r>
        <w:t>2.3 乙方可使用具备资质的分包商承担界面制作和测试工作，但应事先书面告知甲方，且对分包工作成果及保密义务承担本协议项下责任。核心架构设计和数据处理工作未经甲方书面同意不得转包。</w:t>
      </w:r>
    </w:p>
    <w:p>
      <w:pPr>
        <w:pStyle w:val="Heading1"/>
      </w:pPr>
      <w:r>
        <w:t>第三章 价款、发票与付款</w:t>
      </w:r>
    </w:p>
    <w:p>
      <w:r>
        <w:t>3.1 含税合同总价为人民币壹佰贰拾万元整（¥1,200,000.00），分项价格见附件二。除经书面变更确认的费用外，乙方不得单方增加费用。</w:t>
      </w:r>
    </w:p>
    <w:p>
      <w:r>
        <w:t>3.2 甲方在合同生效且收到合法有效发票后十五个工作日内支付总价30%；测试环境上线并完成阶段确认后支付40%；最终验收通过后支付20%；质保期届满且遗留缺陷处理完毕后支付10%。</w:t>
      </w:r>
    </w:p>
    <w:p>
      <w:r>
        <w:t>3.3 乙方应在每笔款项到期前提供与付款金额一致的增值税发票。甲方提出发票瑕疵应及时书面说明；无争议的到期款项仍应按期支付。双方账户信息以签署页盖章确认的付款通知为准。</w:t>
      </w:r>
    </w:p>
    <w:p>
      <w:pPr>
        <w:pStyle w:val="Heading1"/>
      </w:pPr>
      <w:r>
        <w:t>第四章 进度与双方协作</w:t>
      </w:r>
    </w:p>
    <w:p>
      <w:r>
        <w:t>4.1 计划于2026年11月2日启动，11月20日完成需求基线确认，12月18日完成测试部署，2027年1月22日申请最终验收。详细里程碑及材料见附件三。</w:t>
      </w:r>
    </w:p>
    <w:p>
      <w:r>
        <w:t>4.2 因甲方未提供约定资料、测试环境或确认意见导致关键路径受阻的，乙方应在知悉后三个工作日内通知并列明影响。双方书面确认受影响工作的顺延天数，未受影响工作继续推进。</w:t>
      </w:r>
    </w:p>
    <w:p>
      <w:r>
        <w:t>4.3 乙方每两周提交进度报告，包括已完成事项、待决定事项、风险和下期计划。甲方反馈意见不构成对乙方已完成成果的验收。</w:t>
      </w:r>
    </w:p>
    <w:p>
      <w:pPr>
        <w:pStyle w:val="Heading1"/>
      </w:pPr>
      <w:r>
        <w:t>第五章 交付与验收</w:t>
      </w:r>
    </w:p>
    <w:p>
      <w:r>
        <w:t>5.1 乙方按附件三提交可安装包、约定范围的源码、部署手册、接口说明、测试记录、开源软件清单和培训材料，并提供文件版本与校验值。文件接收与质量验收分别记录。</w:t>
      </w:r>
    </w:p>
    <w:p>
      <w:r>
        <w:t>5.2 甲方收到完整验收申请和附件三所列材料后十个工作日内组织测试，依据书面确认的验收用例形成通过、附条件通过或不通过的书面记录。乙方应针对缺陷在双方确定的期限内修复并申请复测。</w:t>
      </w:r>
    </w:p>
    <w:p>
      <w:r>
        <w:t>5.3 甲方逾期未提出具体不符合项的，视为该次功能验收通过；涉及重大安全漏洞、个人信息泄露或无法实现核心功能的，不适用推定通过，双方应另作书面处置。</w:t>
      </w:r>
    </w:p>
    <w:p>
      <w:r>
        <w:t>5.4 最终验收不免除乙方对隐蔽缺陷、侵权、保密和法定义务的责任。质保期自最终验收之次日起计算。</w:t>
      </w:r>
    </w:p>
    <w:p>
      <w:pPr>
        <w:pStyle w:val="Heading1"/>
      </w:pPr>
      <w:r>
        <w:t>第六章 需求变更与项目记录</w:t>
      </w:r>
    </w:p>
    <w:p>
      <w:r>
        <w:t>6.1 变更申请应写明范围、业务原因、价格、工期、验收标准及对既有成果的影响。双方有权代表确认后实施；紧急修复不增加原固定范围价款。</w:t>
      </w:r>
    </w:p>
    <w:p>
      <w:r>
        <w:t>6.2 项目联系人可确认技术细节和排期，但无权单方修改合同总价、责任限制、知识产权归属或数据处理权限。微信群、口头讨论和会议纪要仅作沟通证据，未经授权签认不自动变更协议。</w:t>
      </w:r>
    </w:p>
    <w:p>
      <w:r>
        <w:t>6.3 双方保存变更单、需求基线、会议纪要和验收记录。未列入附件一或已签署变更单的新增功能，由双方另行协商。</w:t>
      </w:r>
    </w:p>
    <w:p>
      <w:pPr>
        <w:pStyle w:val="Heading1"/>
      </w:pPr>
      <w:r>
        <w:t>第七章 知识产权与第三方组件</w:t>
      </w:r>
    </w:p>
    <w:p>
      <w:r>
        <w:t>7.1 甲方提供的商标、数据和既有资料仍归甲方或原权利人。乙方既有平台、工具及通用组件仍归乙方；甲方在本项目使用成果所必需的范围内取得非独占、持续的使用许可。</w:t>
      </w:r>
    </w:p>
    <w:p>
      <w:r>
        <w:t>7.2 乙方为本项目定制开发且已由甲方支付对应价款的成果，其可转让的财产性权利按附件一范围归甲方。乙方应交付足以维护该成果的源码、构建说明和依赖清单；第三方组件仍受其许可约束。</w:t>
      </w:r>
    </w:p>
    <w:p>
      <w:r>
        <w:t>7.3 乙方保证其交付不侵犯第三方合法权利。第三方提出权利主张时，乙方应及时通知、协助抗辩并采取替换、取得许可或合理修改等措施，不影响甲方已合法取得的使用权益。</w:t>
      </w:r>
    </w:p>
    <w:p>
      <w:pPr>
        <w:pStyle w:val="Heading1"/>
      </w:pPr>
      <w:r>
        <w:t>第八章 数据保护与保密</w:t>
      </w:r>
    </w:p>
    <w:p>
      <w:r>
        <w:t>8.1 甲方决定业务数据处理目的和范围，乙方仅为履约按甲方书面指令处理。乙方不得将甲方真实业务数据用于模型训练或其他项目；未经同意不得向境外传输或委托第三方处理。</w:t>
      </w:r>
    </w:p>
    <w:p>
      <w:r>
        <w:t>8.2 乙方对访问人员实行最小权限、操作留痕、备份和漏洞处置。发生影响甲方数据安全的事件，应及时通知甲方，提供已知范围、已采取措施与后续处置计划，并配合依法履行通知义务。</w:t>
      </w:r>
    </w:p>
    <w:p>
      <w:r>
        <w:t>8.3 双方对履约中获知的未公开技术、经营及个人信息保密。依法必须披露、已公开或从合法独立来源取得的信息除外。保密义务在协议终止后继续，商业秘密在其不再构成秘密前持续保护。</w:t>
      </w:r>
    </w:p>
    <w:p>
      <w:r>
        <w:t>8.4 协议终止后十五个工作日内，乙方按甲方指示返还或删除甲方数据，并出具处置记录；法律要求保留的部分单列范围、依据和期限，继续履行保密义务。</w:t>
      </w:r>
    </w:p>
    <w:p>
      <w:pPr>
        <w:pStyle w:val="Heading1"/>
      </w:pPr>
      <w:r>
        <w:t>第九章 维护、服务与升级</w:t>
      </w:r>
    </w:p>
    <w:p>
      <w:r>
        <w:t>9.1 乙方自最终验收后提供十二个月质保维护。严重故障两小时响应、一个工作日给出恢复方案；一般故障一个工作日响应、三个工作日给出处理计划。响应和修复分别记录。</w:t>
      </w:r>
    </w:p>
    <w:p>
      <w:r>
        <w:t>9.2 甲方合理提供问题复现信息；乙方以工单记录提交、分类、处理、复核及关闭。由于甲方自行修改代码或未经批准的第三方变更造成的问题，乙方应协助排查，费用另行确认。</w:t>
      </w:r>
    </w:p>
    <w:p>
      <w:r>
        <w:t>9.3 质保期外服务双方另签维护协议。乙方至少提前三十日提供版本迁移建议和必要的交接材料。</w:t>
      </w:r>
    </w:p>
    <w:p>
      <w:pPr>
        <w:pStyle w:val="Heading1"/>
      </w:pPr>
      <w:r>
        <w:t>第十章 违约责任与责任范围</w:t>
      </w:r>
    </w:p>
    <w:p>
      <w:r>
        <w:t>10.1 乙方因自身原因延迟最终交付，每延迟一日按未交付部分对应价款的0.05%支付违约金，累计不超过合同总价的10%。已获书面确认的顺延期间不计入乙方延迟。</w:t>
      </w:r>
    </w:p>
    <w:p>
      <w:r>
        <w:t>10.2 甲方逾期支付无争议到期款项，经乙方书面催告十个工作日仍未支付的，乙方可暂停与该款项对应的后续工作；暂停前应采取合理措施避免数据丢失。</w:t>
      </w:r>
    </w:p>
    <w:p>
      <w:r>
        <w:t>10.3 任一方违反保密、知识产权或数据处理义务，应承担依法及依约应承担的责任。其他违约赔偿以可证明的实际损失及订约时可预见范围为基础。双方应采取合理措施减轻损失。</w:t>
      </w:r>
    </w:p>
    <w:p>
      <w:pPr>
        <w:pStyle w:val="Heading1"/>
      </w:pPr>
      <w:r>
        <w:t>第十一章 期限、解除与交接</w:t>
      </w:r>
    </w:p>
    <w:p>
      <w:r>
        <w:t>11.1 协议自双方有权代表签署并盖章之日起生效，履行至约定义务完成，保密、争议和应当继续履行的条款不因终止而失效。</w:t>
      </w:r>
    </w:p>
    <w:p>
      <w:r>
        <w:t>11.2 一方严重违约且收到书面催告后二十个工作日仍未改正，守约方可书面解除。因长期不可抗力致合同目的无法实现，双方协商处理已完成工作和不可取消的合理费用。</w:t>
      </w:r>
    </w:p>
    <w:p>
      <w:r>
        <w:t>11.3 解除或期满后三十日内，双方核对已完成成果、应付款、在途缺陷、数据与资产清单。乙方应移交甲方已付款成果和可读取数据，不以存在争议款项为由阻止甲方取回其原始数据。</w:t>
      </w:r>
    </w:p>
    <w:p>
      <w:pPr>
        <w:pStyle w:val="Heading1"/>
      </w:pPr>
      <w:r>
        <w:t>第十二章 不可抗力、通知及争议</w:t>
      </w:r>
    </w:p>
    <w:p>
      <w:r>
        <w:t>12.1 不可抗力发生方及时通知对方并提供可获得的证明，采取合理减损措施；影响持续三十日的，双方协商调整履行或依法解除。</w:t>
      </w:r>
    </w:p>
    <w:p>
      <w:r>
        <w:t>12.2 双方正式通知通过签署页指定电子邮箱与快递地址送达。联系人或地址变更应至少提前三个工作日书面告知；解除和索赔通知须保留可核实的送达记录。</w:t>
      </w:r>
    </w:p>
    <w:p>
      <w:r>
        <w:t>12.3 本协议适用中华人民共和国法律。争议先协商三十日，未成的，提交项目履行地有管辖权的人民法院。争议期间双方继续履行不受争议影响的条款。</w:t>
      </w:r>
    </w:p>
    <w:p>
      <w:pPr>
        <w:pStyle w:val="Heading1"/>
      </w:pPr>
      <w:r>
        <w:t>附件一 服务与交付范围</w:t>
      </w:r>
    </w:p>
    <w:p>
      <w:r>
        <w:t>A1.1 运营总览包括园区入住率、工单量和能耗趋势看板；能耗统计提供月度、楼宇维度报表；工单模块提供查询、筛选与导出。并发性能和支持浏览器范围在需求基线中确认。</w:t>
      </w:r>
    </w:p>
    <w:p>
      <w:r>
        <w:t>A1.2 每模块交付部署包、定制源码、接口说明、操作手册；乙方提供一次不少于四小时的管理员培训。第三方设备采购和历史数据迁移不在固定范围。</w:t>
      </w:r>
    </w:p>
    <w:p>
      <w:pPr>
        <w:pStyle w:val="Heading1"/>
      </w:pPr>
      <w:r>
        <w:t>附件二 价款分项及付款表</w:t>
      </w:r>
    </w:p>
    <w:p>
      <w:r>
        <w:t>A2.1 运营总览400,000元；能耗统计300,000元；工单查询300,000元；部署培训及十二个月维护200,000元；合计1,200,000元，均为含税价。</w:t>
      </w:r>
    </w:p>
    <w:p>
      <w:r>
        <w:t>A2.2 生效及发票齐备后支付360,000元；阶段确认后支付480,000元；最终验收后支付240,000元；质保期满且遗留缺陷处理完毕后支付120,000元。每笔付款按正文第三章执行。</w:t>
      </w:r>
    </w:p>
    <w:p>
      <w:pPr>
        <w:pStyle w:val="Heading1"/>
      </w:pPr>
      <w:r>
        <w:t>附件三 里程碑与验收材料</w:t>
      </w:r>
    </w:p>
    <w:p>
      <w:r>
        <w:t>A3.1 需求基线、接口联调记录、测试部署说明、缺陷清单、最终验收用例与结果、源码及构建说明、开源清单和培训签到记录组成验收材料。</w:t>
      </w:r>
    </w:p>
    <w:p>
      <w:r>
        <w:t>A3.2 阶段确认仅确认测试环境已安装和主要功能可演示，不替代最终验收。最终验收以双方确认的用例和第五章程序进行。</w:t>
      </w:r>
    </w:p>
    <w:p>
      <w:pPr>
        <w:pStyle w:val="Heading1"/>
      </w:pPr>
      <w:r>
        <w:t>附件四 交接与归档清单</w:t>
      </w:r>
    </w:p>
    <w:p>
      <w:r>
        <w:t>A4.1 正式归档应包含签署正本、主体证照及授权、正文及四份附件、需求基线、变更单、交付清单、验收记录、发票和付款凭证。</w:t>
      </w:r>
    </w:p>
    <w:p>
      <w:r>
        <w:t>A4.2 本样稿仅包含合同文本；主体证照、授权、项目数据、真实发票和付款凭证均待交易中实际取得。归档员记录文件版本、取得日期、来源和核验人。</w:t>
      </w:r>
    </w:p>
    <w:p>
      <w:r>
        <w:br w:type="page"/>
      </w:r>
    </w:p>
    <w:p>
      <w:pPr>
        <w:pStyle w:val="Heading1"/>
      </w:pPr>
      <w:r>
        <w:t>签署与归档页</w:t>
      </w:r>
    </w:p>
    <w:p>
      <w:r>
        <w:t>甲方：_____________________________       乙方：_____________________________</w:t>
      </w:r>
    </w:p>
    <w:p>
      <w:r>
        <w:t>统一社会信用代码：_________________       统一社会信用代码：_________________</w:t>
      </w:r>
    </w:p>
    <w:p>
      <w:r>
        <w:t>法定代表人或授权代表：_____________       法定代表人或授权代表：_____________</w:t>
      </w:r>
    </w:p>
    <w:p>
      <w:r>
        <w:t>盖章：_____________________________       盖章：_____________________________</w:t>
      </w:r>
    </w:p>
    <w:p>
      <w:r>
        <w:t>签署日期：______年____月____日           签署地点：_________________________</w:t>
      </w:r>
    </w:p>
    <w:p>
      <w:r>
        <w:t>正式通知邮箱及地址：双方签署时填写并核对。</w:t>
      </w:r>
    </w:p>
    <w:p>
      <w:r>
        <w:t>归档记录：签署正本、全部附件、授权证明及后续履约材料由归档人员核对版本、取得日期与来源。</w:t>
      </w:r>
    </w:p>
    <w:p>
      <w:r>
        <w:t>本样稿未签署、未盖章、未付款、未办理审批或登记；空白处不代表已有授权。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GC-DRAFT-2026-001  | 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智鉴投拓 · 待审交易材料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8" w:lineRule="auto" w:after="100"/>
    </w:pPr>
    <w:rPr>
      <w:rFonts w:ascii="Microsoft YaHei" w:hAnsi="Microsoft YaHei" w:eastAsia="Microsoft YaHei"/>
      <w:color w:val="1F32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324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1F32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