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园区项目公司合作投资协议</w:t>
      </w:r>
    </w:p>
    <w:p>
      <w:pPr>
        <w:jc w:val="center"/>
      </w:pPr>
      <w:r>
        <w:t>商 务 谈 判 稿  ·  尚 未 签 署</w:t>
      </w:r>
    </w:p>
    <w:p>
      <w:r>
        <w:t>文件编号：INV-DRAFT-2026-001</w:t>
      </w:r>
    </w:p>
    <w:p>
      <w:r>
        <w:t>版本：V1.0</w:t>
      </w:r>
    </w:p>
    <w:p>
      <w:r>
        <w:t>编制日期：2026年9月27日</w:t>
      </w:r>
    </w:p>
    <w:p>
      <w:r>
        <w:t>性质：完整待审样稿。主体与项目为虚构，条款按真实交易习惯编写；未经交易核验，不供直接签署。</w:t>
      </w:r>
    </w:p>
    <w:p>
      <w:pPr>
        <w:pStyle w:val="Heading1"/>
      </w:pPr>
      <w:r>
        <w:t>目录</w:t>
      </w:r>
    </w:p>
    <w:p>
      <w:r>
        <w:t>第一章 当事人、交易背景与定义  /  第二章 项目、文件组成和解释顺序  /  第三章 注册资本与出资  /  第四章 项目基础与尽职调查  /  第五章 生效、先决条件与交割  /  第六章 股东会、董事会及管理层  /  第七章 重大事项与表决  /  第八章 经营、资金与关联交易  /  第九章 利润分配、追加出资与稀释  /  第十章 股权转让、回购和退出  /  第十一章 陈述保证与承诺  /  第十二章 违约、救济与责任  /  第十三章 保密、通知和争议  /  第十四章 变更、文本及归档  /  附件一 出资及资金计划  /  附件二 治理与授权事项清单  /  附件三 交割条件与归档清单  /  附件四 财务假设与敏感性说明  /  签署与归档页</w:t>
      </w:r>
    </w:p>
    <w:p>
      <w:r>
        <w:br w:type="page"/>
      </w:r>
    </w:p>
    <w:p>
      <w:pPr>
        <w:pStyle w:val="Heading1"/>
      </w:pPr>
      <w:r>
        <w:t>第一章 当事人、交易背景与定义</w:t>
      </w:r>
    </w:p>
    <w:p>
      <w:r>
        <w:t>1.1 甲方（投资方）：澜序产业投资有限公司。乙方（合作方）：泊岸城市运营有限公司。双方均为虚构主体。本交易方案假设甲方属于国有控股投资主体；正式交易须以股权穿透、所有制和授权证明核实该身份。</w:t>
      </w:r>
    </w:p>
    <w:p>
      <w:r>
        <w:t>1.2 双方拟共同设立栖湾园区开发运营有限公司（下称项目公司），从事经批准的园区空间运营和配套服务。项目公司名称、住所和经营范围以登记机关核定及届时签署的章程为准。</w:t>
      </w:r>
    </w:p>
    <w:p>
      <w:r>
        <w:t>1.3 本协议中的“交割”指满足第五章先决条件后完成首期出资和相关权益交接；“重大事项”见第七章；“关联方”按适用法律及双方正式披露的关联关系认定。</w:t>
      </w:r>
    </w:p>
    <w:p>
      <w:pPr>
        <w:pStyle w:val="Heading1"/>
      </w:pPr>
      <w:r>
        <w:t>第二章 项目、文件组成和解释顺序</w:t>
      </w:r>
    </w:p>
    <w:p>
      <w:r>
        <w:t>2.1 交易涉及项目公司设立、资本金投入、园区运营合作与退出安排。甲方的投资目标是取得与持股相称的治理权及经济权益；甲方是否适用国资监管规定以甲方正式证明为准。</w:t>
      </w:r>
    </w:p>
    <w:p>
      <w:r>
        <w:t>2.2 本协议、附件一出资计划、附件二治理事项清单、附件三交割与归档清单、附件四财务假设均为交易文件。与登记章程冲突时，双方应依法修订章程或本协议并评估对既有权利的影响，不能仅凭本协议约束项目公司以外第三方。</w:t>
      </w:r>
    </w:p>
    <w:p>
      <w:r>
        <w:t>2.3 合同签订前的商业演示、预测和讨论记录仅作为尽调材料；未经双方授权签署，不构成收益保证或条件变更。</w:t>
      </w:r>
    </w:p>
    <w:p>
      <w:pPr>
        <w:pStyle w:val="Heading1"/>
      </w:pPr>
      <w:r>
        <w:t>第三章 注册资本与出资</w:t>
      </w:r>
    </w:p>
    <w:p>
      <w:r>
        <w:t>3.1 项目公司拟注册资本人民币5,000万元，甲方认缴3,000万元、持股60%；乙方认缴2,000万元、持股40%。双方原则上按相同比例和相同期限缴付每期资本，具体计划见附件一。</w:t>
      </w:r>
    </w:p>
    <w:p>
      <w:r>
        <w:t>3.2 首期均为现金出资，拟于设立登记完成后三十日内按各自认缴额的20%缴付，甲方600万元、乙方400万元。后续出资在适用法律规定期限及项目资金计划内，由股东会批准并书面通知。</w:t>
      </w:r>
    </w:p>
    <w:p>
      <w:r>
        <w:t>3.3 任一方以非货币财产出资须经双方另行书面约定，依法评估、办理权属转移并履行必要程序。未经双方有权机构同意，不得以对项目公司的应收款自动抵作出资。</w:t>
      </w:r>
    </w:p>
    <w:p>
      <w:pPr>
        <w:pStyle w:val="Heading1"/>
      </w:pPr>
      <w:r>
        <w:t>第四章 项目基础与尽职调查</w:t>
      </w:r>
    </w:p>
    <w:p>
      <w:r>
        <w:t>4.1 乙方应提供拟运营物业的权属、租赁或合作授权、租户、经营许可及历史合同清单。甲方可组织财务、法律、税务和工程尽调；双方按附件三记录已提供和待提供材料。</w:t>
      </w:r>
    </w:p>
    <w:p>
      <w:r>
        <w:t>4.2 乙方确认其已披露与项目相关的重大诉讼、担保、行政处罚及关联交易；甲方确认其投资决策仍以正式尽调结论和内部程序为前提。声明以签署时已知且有据可查的事实为基础。</w:t>
      </w:r>
    </w:p>
    <w:p>
      <w:r>
        <w:t>4.3 交割前新增重大不利事项或披露材料存在实质不实，一方应及时告知另一方并协商补救。对项目估值和出资安排的调整须形成书面文件。</w:t>
      </w:r>
    </w:p>
    <w:p>
      <w:pPr>
        <w:pStyle w:val="Heading1"/>
      </w:pPr>
      <w:r>
        <w:t>第五章 生效、先决条件与交割</w:t>
      </w:r>
    </w:p>
    <w:p>
      <w:r>
        <w:t>5.1 本协议由双方有权代表签署盖章后生效；出资交割以双方有权机构投资批准、适用的国资或其他监管程序、项目公司设立登记、章程签署和附件三核心文件交齐为条件。</w:t>
      </w:r>
    </w:p>
    <w:p>
      <w:r>
        <w:t>5.2 任一先决条件未满足或依法豁免前，双方不因计划日期到来而承担无条件支付义务。豁免不得替代法律、监管或章程明确要求的程序。双方应在2027年3月31日前核验条件状态。</w:t>
      </w:r>
    </w:p>
    <w:p>
      <w:r>
        <w:t>5.3 交割日由双方书面确认。项目公司开户资料、股东名册、出资通知及收款凭证应归档；实际出资以银行回单和会计记录核实，不以本协议文本推定已经缴付。</w:t>
      </w:r>
    </w:p>
    <w:p>
      <w:pPr>
        <w:pStyle w:val="Heading1"/>
      </w:pPr>
      <w:r>
        <w:t>第六章 股东会、董事会及管理层</w:t>
      </w:r>
    </w:p>
    <w:p>
      <w:r>
        <w:t>6.1 股东会按实缴和法律允许的章程约定行使职权，普通事项按适用法律及章程形成决议。修改章程、增减注册资本、合并分立、解散等依法须特别表决的事项按法定规则办理。</w:t>
      </w:r>
    </w:p>
    <w:p>
      <w:r>
        <w:t>6.2 董事会设五名董事，甲方推荐三名、乙方推荐两名。董事长由甲方推荐董事担任；总经理由董事会聘任，财务负责人由甲方提名并经董事会聘任。法定代表人由董事长担任，章程应与此一致。</w:t>
      </w:r>
    </w:p>
    <w:p>
      <w:r>
        <w:t>6.3 董事应依法履行忠实和勤勉义务。涉及关联交易时，关联董事应依法及依章程披露与回避；回避后表决人数不足的，提交股东会处理。</w:t>
      </w:r>
    </w:p>
    <w:p>
      <w:r>
        <w:t>6.4 项目公司设监事或审计监督安排，具体机构依适用公司法和章程确定。股东依法享有信息、查阅和监督权，项目公司应设置材料提供及争议升级机制。</w:t>
      </w:r>
    </w:p>
    <w:p>
      <w:pPr>
        <w:pStyle w:val="Heading1"/>
      </w:pPr>
      <w:r>
        <w:t>第七章 重大事项与表决</w:t>
      </w:r>
    </w:p>
    <w:p>
      <w:r>
        <w:t>7.1 年度预算、重大融资担保、对外投资、重大资产处置、关联交易和超预算支出列入董事会或股东会审议清单。金额阈值、累计口径及授权人员在附件二列明并纳入章程或议事规则。</w:t>
      </w:r>
    </w:p>
    <w:p>
      <w:r>
        <w:t>7.2 超过年度预算10%或单项超过人民币300万元的对外投资及资产处置，须经董事会不少于四名董事同意；融资担保和关联交易应执行更严格的适用法律、章程及内部审批要求。</w:t>
      </w:r>
    </w:p>
    <w:p>
      <w:r>
        <w:t>7.3 乙方对更换物业运营品牌、终止乙方现有运营服务及引入同业竞争者享有事先协商权。双方应在章程中明确协商期限和未达成一致时的决策程序。</w:t>
      </w:r>
    </w:p>
    <w:p>
      <w:r>
        <w:t>7.4 章程及议事规则未定稿前，本章是双方约定的修订原则。不得将“已经协商”视作董事会或股东会实际批准。</w:t>
      </w:r>
    </w:p>
    <w:p>
      <w:pPr>
        <w:pStyle w:val="Heading1"/>
      </w:pPr>
      <w:r>
        <w:t>第八章 经营、资金与关联交易</w:t>
      </w:r>
    </w:p>
    <w:p>
      <w:r>
        <w:t>8.1 项目公司建立独立银行账户、会计账簿、授权审批和双人复核制度。项目资金专款用于经批准的项目经营，不得与任一股东资金混同。</w:t>
      </w:r>
    </w:p>
    <w:p>
      <w:r>
        <w:t>8.2 项目公司拟与乙方签订园区运营服务合同，服务范围、定价依据、期限、业绩指标和终止条件应另行文件确定，并在乙方回避的前提下完成适用的关联交易审批。</w:t>
      </w:r>
    </w:p>
    <w:p>
      <w:r>
        <w:t>8.3 未经有效决议，项目公司不得为股东及其关联方提供借款、担保或非正常资金占用。对外融资涉及股东增信时，由相关股东分别履行其内部批准程序。</w:t>
      </w:r>
    </w:p>
    <w:p>
      <w:r>
        <w:t>8.4 项目公司应按季度向股东提供财务报表、经营报告和预算执行情况；股东依法查阅会计账簿与凭证的程序、保密及复制范围由章程或股东会规则具体化。</w:t>
      </w:r>
    </w:p>
    <w:p>
      <w:pPr>
        <w:pStyle w:val="Heading1"/>
      </w:pPr>
      <w:r>
        <w:t>第九章 利润分配、追加出资与稀释</w:t>
      </w:r>
    </w:p>
    <w:p>
      <w:r>
        <w:t>9.1 在弥补亏损、提取法定公积金及满足适用法律与债务约束后，项目公司按股东实缴出资比例分配可分配利润，另有合法有效约定的除外。预测利润不构成保底收益承诺。</w:t>
      </w:r>
    </w:p>
    <w:p>
      <w:r>
        <w:t>9.2 追加资本金由股东会依法决定，原则上先由现有股东按持股比例认购。一方不参与时，应在决议及增资文件中明确估值、稀释、交割和国资适用程序。</w:t>
      </w:r>
    </w:p>
    <w:p>
      <w:r>
        <w:t>9.3 项目公司发生经营亏损，股东以认缴出资为限承担责任，依法应承担其他责任的除外。任何一方不因本协议被保证获得固定收益。</w:t>
      </w:r>
    </w:p>
    <w:p>
      <w:pPr>
        <w:pStyle w:val="Heading1"/>
      </w:pPr>
      <w:r>
        <w:t>第十章 股权转让、回购和退出</w:t>
      </w:r>
    </w:p>
    <w:p>
      <w:r>
        <w:t>10.1 任何股东转让股权应遵守公司法、章程及适用的国资交易规定，并提前向另一方提供受让方、价格、支付方式和其他主要条件。其他股东依法享有的优先购买权按届时法律规定处理。</w:t>
      </w:r>
    </w:p>
    <w:p>
      <w:r>
        <w:t>10.2 项目连续两个会计年度未达到双方确认的核心经营指标时，双方应启动经营方案调整或股权转让协商。未达标本身不自动触发由项目公司或甲方无条件回购乙方股权。</w:t>
      </w:r>
    </w:p>
    <w:p>
      <w:r>
        <w:t>10.3 出现重大治理僵局、严重违约或无法继续经营，双方优先通过调整治理安排、引入第三方或依法转让股权解决；回购或减资须另行约定价格依据、偿债能力、审批程序及合法实施路径。</w:t>
      </w:r>
    </w:p>
    <w:p>
      <w:pPr>
        <w:pStyle w:val="Heading1"/>
      </w:pPr>
      <w:r>
        <w:t>第十一章 陈述保证与承诺</w:t>
      </w:r>
    </w:p>
    <w:p>
      <w:r>
        <w:t>11.1 双方保证具有签署及履行本协议所需的主体资格和授权，并按要求提供真实、完整的证明文件。任何一方不得以其关联方未签署本协议为由代其作出无限担保或承诺。</w:t>
      </w:r>
    </w:p>
    <w:p>
      <w:r>
        <w:t>11.2 乙方保证其提供的项目权属和运营资料在重大方面真实、完整；甲方保证按已批准的出资安排履行出资。若依赖审批、登记或第三方同意，按第五章处理。</w:t>
      </w:r>
    </w:p>
    <w:p>
      <w:r>
        <w:t>11.3 双方持续披露可能影响投资判断的重大变化，配合反商业贿赂、反洗钱、数据保护和适用国资监管要求。</w:t>
      </w:r>
    </w:p>
    <w:p>
      <w:pPr>
        <w:pStyle w:val="Heading1"/>
      </w:pPr>
      <w:r>
        <w:t>第十二章 违约、救济与责任</w:t>
      </w:r>
    </w:p>
    <w:p>
      <w:r>
        <w:t>12.1 一方逾期出资，应按适用法律及章程承担责任；守约方可书面催告并要求补缴，后续失权或权益调整应符合公司法和法定程序。</w:t>
      </w:r>
    </w:p>
    <w:p>
      <w:r>
        <w:t>12.2 一方重大违反声明保证或擅自转移项目资产，应赔偿对方可证明的直接损失。双方应及时采取合理措施防止损失扩大，并保留交易记录和审计证据。</w:t>
      </w:r>
    </w:p>
    <w:p>
      <w:r>
        <w:t>12.3 未经有效程序作出的项目公司决议或交易，双方应首先采取停止执行、补正程序、追偿或其他合法救济；本协议不能当然使第三人交易无效。</w:t>
      </w:r>
    </w:p>
    <w:p>
      <w:pPr>
        <w:pStyle w:val="Heading1"/>
      </w:pPr>
      <w:r>
        <w:t>第十三章 保密、通知和争议</w:t>
      </w:r>
    </w:p>
    <w:p>
      <w:r>
        <w:t>13.1 尽调资料、商业计划及未公开财务信息仅用于本项目。依法披露或取得监管机关要求时，应在允许范围内通知对方，并采取必要保密措施。</w:t>
      </w:r>
    </w:p>
    <w:p>
      <w:r>
        <w:t>13.2 正式通知采用签署页的通讯地址和电子邮箱。争议先由双方负责人协商二十个工作日；未成的，向项目公司住所地有管辖权的人民法院起诉。项目公司尚未设立时，以拟设立地依法确定管辖。</w:t>
      </w:r>
    </w:p>
    <w:p>
      <w:r>
        <w:t>13.3 本协议适用中华人民共和国法律。争议期间除争议事项外，双方继续履行能够独立履行的义务。</w:t>
      </w:r>
    </w:p>
    <w:p>
      <w:pPr>
        <w:pStyle w:val="Heading1"/>
      </w:pPr>
      <w:r>
        <w:t>第十四章 变更、文本及归档</w:t>
      </w:r>
    </w:p>
    <w:p>
      <w:r>
        <w:t>14.1 对股比、表决、资金、关联交易或退出的修改须双方有权代表书面签署，依法需要项目公司决议或监管程序的另行完成。附件和章程应同步修订并核对版本。</w:t>
      </w:r>
    </w:p>
    <w:p>
      <w:r>
        <w:t>14.2 正本四份，双方各执两份，附件与正文一并签署或盖骑缝章；电子扫描件供流程使用，以实际签署文件和合法电子签名记录为准。</w:t>
      </w:r>
    </w:p>
    <w:p>
      <w:r>
        <w:t>14.3 本样稿编号 INV-DRAFT-2026-001，版本V1.0。签署日期、批准文件、账户和实际履约凭证以正式交易记录为准。本样稿未形成任何真实投资或付款事实。</w:t>
      </w:r>
    </w:p>
    <w:p>
      <w:pPr>
        <w:pStyle w:val="Heading1"/>
      </w:pPr>
      <w:r>
        <w:t>附件一 出资及资金计划</w:t>
      </w:r>
    </w:p>
    <w:p>
      <w:r>
        <w:t>A1.1 拟注册资本5,000万元，甲方认缴3,000万元，乙方认缴2,000万元；首期甲方600万元、乙方400万元。后续按年度预算和依法有效的出资通知缴纳。</w:t>
      </w:r>
    </w:p>
    <w:p>
      <w:r>
        <w:t>A1.2 资金预计用于园区改造、系统建设、招商及流动资金；分类预算由设立后的有权机构批准。预算预测不等于支付授权，超预算按第七章执行。</w:t>
      </w:r>
    </w:p>
    <w:p>
      <w:pPr>
        <w:pStyle w:val="Heading1"/>
      </w:pPr>
      <w:r>
        <w:t>附件二 治理与授权事项清单</w:t>
      </w:r>
    </w:p>
    <w:p>
      <w:r>
        <w:t>A2.1 股东会事项：章程、资本、利润分配、董事任免、合并分立解散以及依法由股东会决定的其他事项。董事会事项：预算、经营计划、重大投资、融资担保、关联交易、管理层聘任。</w:t>
      </w:r>
    </w:p>
    <w:p>
      <w:r>
        <w:t>A2.2 重大事项金额阈值按第七章执行。同一关联方及其受同一控制的主体在连续十二个月内交易应合并核算；拆分交易不规避审批。具体回避和记录方式由章程落实。</w:t>
      </w:r>
    </w:p>
    <w:p>
      <w:r>
        <w:t>A2.3 董事长、法定代表人、总经理、财务负责人及印章保管应有书面任免和授权记录。网银、财务章及合同章分别管理，异常支付须留痕并报告董事会。</w:t>
      </w:r>
    </w:p>
    <w:p>
      <w:pPr>
        <w:pStyle w:val="Heading1"/>
      </w:pPr>
      <w:r>
        <w:t>附件三 交割条件与归档清单</w:t>
      </w:r>
    </w:p>
    <w:p>
      <w:r>
        <w:t>A3.1 核验：双方主体与授权、股权穿透和所有制说明、投资决策及适用监管程序、项目物业权属或授权、重大合同及负债、税务与诉讼、正式章程、股东名册、开户文件。</w:t>
      </w:r>
    </w:p>
    <w:p>
      <w:r>
        <w:t>A3.2 交割时归档：条件满足或合法豁免清单、签署正本、设立登记、资金通知、银行回单、会计凭证和治理机构首次决议。未取得材料标记“待补”，不填写虚构批准日期。</w:t>
      </w:r>
    </w:p>
    <w:p>
      <w:pPr>
        <w:pStyle w:val="Heading1"/>
      </w:pPr>
      <w:r>
        <w:t>附件四 财务假设与敏感性说明</w:t>
      </w:r>
    </w:p>
    <w:p>
      <w:r>
        <w:t>A4.1 基准情景假设首年营业收入1,800万元，直接成本1,100万元，期间费用400万元；税费、折旧、融资成本和资本开支另按尽调及财务模型测算。本附件不构成利润或估值保证。</w:t>
      </w:r>
    </w:p>
    <w:p>
      <w:r>
        <w:t>A4.2 若出租率或租金低于预测，双方应更新现金流、偿债及追加资金需求。正式投决以经核实的模型、经营数据和必要的专业意见为依据。</w:t>
      </w:r>
    </w:p>
    <w:p>
      <w:r>
        <w:br w:type="page"/>
      </w:r>
    </w:p>
    <w:p>
      <w:pPr>
        <w:pStyle w:val="Heading1"/>
      </w:pPr>
      <w:r>
        <w:t>签署与归档页</w:t>
      </w:r>
    </w:p>
    <w:p>
      <w:r>
        <w:t>甲方：_____________________________       乙方：_____________________________</w:t>
      </w:r>
    </w:p>
    <w:p>
      <w:r>
        <w:t>统一社会信用代码：_________________       统一社会信用代码：_________________</w:t>
      </w:r>
    </w:p>
    <w:p>
      <w:r>
        <w:t>法定代表人或授权代表：_____________       法定代表人或授权代表：_____________</w:t>
      </w:r>
    </w:p>
    <w:p>
      <w:r>
        <w:t>盖章：_____________________________       盖章：_____________________________</w:t>
      </w:r>
    </w:p>
    <w:p>
      <w:r>
        <w:t>签署日期：______年____月____日           签署地点：_________________________</w:t>
      </w:r>
    </w:p>
    <w:p>
      <w:r>
        <w:t>正式通知邮箱及地址：双方签署时填写并核对。</w:t>
      </w:r>
    </w:p>
    <w:p>
      <w:r>
        <w:t>归档记录：签署正本、全部附件、授权证明及后续履约材料由归档人员核对版本、取得日期与来源。</w:t>
      </w:r>
    </w:p>
    <w:p>
      <w:r>
        <w:t>本样稿未签署、未盖章、未付款、未办理审批或登记；空白处不代表已有授权。</w:t>
      </w:r>
    </w:p>
    <w:sectPr w:rsidR="00FC693F" w:rsidRPr="0006063C" w:rsidSect="00034616">
      <w:headerReference w:type="default" r:id="rId9"/>
      <w:footerReference w:type="default" r:id="rId10"/>
      <w:pgSz w:w="11909" w:h="16834"/>
      <w:pgMar w:top="1123" w:right="1224" w:bottom="1037"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INV-DRAFT-2026-001  |  第 </w:t>
    </w:r>
    <w:fldSimple w:instr="PAGE"/>
    <w: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智鉴投拓 · 待审交易材料</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98" w:lineRule="auto" w:after="100"/>
    </w:pPr>
    <w:rPr>
      <w:rFonts w:ascii="Microsoft YaHei" w:hAnsi="Microsoft YaHei" w:eastAsia="Microsoft YaHei"/>
      <w:color w:val="1F324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1F324D"/>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1F324D"/>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Microsoft YaHei" w:hAnsi="Microsoft YaHei" w:eastAsia="Microsoft YaHei"/>
      <w:color w:val="1F324D"/>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